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A9" w:rsidRDefault="00C7677D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bookmarkStart w:id="0" w:name="_GoBack"/>
      <w:bookmarkEnd w:id="0"/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Яшкинского муниципального </w:t>
      </w:r>
      <w:r w:rsidR="00BF6D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округа муниципального 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контроля </w:t>
      </w:r>
      <w:r w:rsidR="00BF6DA6" w:rsidRPr="00BF6D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на 2022 год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515AAA" w:rsidRPr="00515AAA" w:rsidRDefault="00515AAA" w:rsidP="002A51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Яшкинского муниципального </w:t>
      </w:r>
      <w:r w:rsidR="00BF6DA6">
        <w:rPr>
          <w:rFonts w:ascii="Times New Roman" w:hAnsi="Times New Roman" w:cs="Times New Roman"/>
          <w:sz w:val="28"/>
          <w:szCs w:val="28"/>
          <w:lang w:val="ru-RU"/>
        </w:rPr>
        <w:t xml:space="preserve">округа муниципального 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BF6DA6" w:rsidRPr="00BF6DA6">
        <w:rPr>
          <w:rFonts w:ascii="Times New Roman" w:hAnsi="Times New Roman" w:cs="Times New Roman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>на 2022 год (далее - Программа профилактики),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  и 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органом муниципального контроля – структурным подразделением администрации Яшкинского муниципального округа профилактики рисков причинения вреда (ущерба) охраняемым законом требований, установленных законодательством Российской Федерации, а также требований установленных законами Кемеровской области – Кузбасса и муниципальными правовыми актами, в случаях, если соответствующие виды контроля относятся к вопросам местного значения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515AAA" w:rsidRPr="00515AAA" w:rsidRDefault="00515AAA" w:rsidP="002A51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рисков причинения вреда (ущерба) охраняемых законом ценностям проводится в рамках осуществления перечня </w:t>
      </w:r>
      <w:r w:rsidR="002A5175" w:rsidRPr="00515AAA">
        <w:rPr>
          <w:rFonts w:ascii="Times New Roman" w:hAnsi="Times New Roman" w:cs="Times New Roman"/>
          <w:sz w:val="28"/>
          <w:szCs w:val="28"/>
          <w:lang w:val="ru-RU"/>
        </w:rPr>
        <w:t>муниципальных контролей,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указанных в Пол</w:t>
      </w:r>
      <w:r w:rsidR="00BF6DA6">
        <w:rPr>
          <w:rFonts w:ascii="Times New Roman" w:hAnsi="Times New Roman" w:cs="Times New Roman"/>
          <w:sz w:val="28"/>
          <w:szCs w:val="28"/>
          <w:lang w:val="ru-RU"/>
        </w:rPr>
        <w:t xml:space="preserve">ожении о муниципальном 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контроле </w:t>
      </w:r>
      <w:r w:rsidR="00BF6DA6" w:rsidRPr="00BF6DA6">
        <w:rPr>
          <w:rFonts w:ascii="Times New Roman" w:hAnsi="Times New Roman" w:cs="Times New Roman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решением Совета народных депутатов Яшкинского муниципального округа </w:t>
      </w:r>
      <w:r w:rsidR="00BF6DA6">
        <w:rPr>
          <w:rFonts w:ascii="Times New Roman" w:hAnsi="Times New Roman" w:cs="Times New Roman"/>
          <w:sz w:val="28"/>
          <w:szCs w:val="28"/>
          <w:lang w:val="ru-RU"/>
        </w:rPr>
        <w:t>№000-р от 24.12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>.2021</w:t>
      </w:r>
    </w:p>
    <w:p w:rsidR="00423E77" w:rsidRDefault="00515AAA" w:rsidP="00BF6D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профилактики будет реализована в 2022 году и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при осуществлении на территории Яшкинского муниципального </w:t>
      </w:r>
      <w:r w:rsidR="00BF6DA6">
        <w:rPr>
          <w:rFonts w:ascii="Times New Roman" w:hAnsi="Times New Roman" w:cs="Times New Roman"/>
          <w:sz w:val="28"/>
          <w:szCs w:val="28"/>
          <w:lang w:val="ru-RU"/>
        </w:rPr>
        <w:t xml:space="preserve">округа муниципального 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BF6DA6" w:rsidRPr="00BF6DA6">
        <w:rPr>
          <w:rFonts w:ascii="Times New Roman" w:hAnsi="Times New Roman" w:cs="Times New Roman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>на 2022 год и показатели оценки реализации Программы профилактики.</w:t>
      </w:r>
    </w:p>
    <w:p w:rsidR="00423E77" w:rsidRPr="00515AAA" w:rsidRDefault="00423E77" w:rsidP="00423E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Раздел 1. Анализ текущего состояния осущест</w:t>
      </w:r>
      <w:r w:rsidR="00BF6D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вления муниципального 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контроля </w:t>
      </w:r>
      <w:r w:rsidR="00BF6DA6" w:rsidRPr="00BF6DA6">
        <w:rPr>
          <w:rFonts w:ascii="Times New Roman" w:hAnsi="Times New Roman" w:cs="Times New Roman"/>
          <w:b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Предметом осуществления муниципального контроля на автомобильном транспорте, городском наземном электрическом транспорте и в дорожном хозяйстве является контроль за исполнением обязательных требований и профилактика рисков причинения вреда (ущерба) охраняемым законом ценностям, установленным федеральными и муниципальными нормативными правовыми актами с целью обеспечения сохранности автомобильных дорог местного значения в границах муниципального округа, соблюдение гражданами,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 в полосе отвода и придорожной полосе автомобильных дорог местного значения,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Обязательные требования, требования, установленные муниципальными правовыми актами в сфере муниципального контроля на автомобильном транспорте, городском наземном электрическом транспорте и в дорожном хозяйстве регламентированы следующими нормативными правовыми актами: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Гражданский Кодекс РФ.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Кодекс РФ об административных правонарушениях.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02.05.2006 № 59-ФЗ «О порядке рассмотрения обращений граждан».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Федеральный закон РФ от 08.11.2007 № 257-ФЗ «Об автомобильных дорогах и о дорожной деятельности в Российской Федерации и о внесении изменений в отдельные законодательные акты РФ».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10.12.1995 № 196-ФЗ «О безопасности дорожного движения».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247-ФЗ «Об обязательных требованиях в Российской Федерации».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Постановление Правительства РФ от 28.09.2009 № 767 «О классификации автомобильных дорог в РФ».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Постановления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индивидуальных предпринимателей».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Закон Кемеровской области от 16.06.2006 № 89-ОЗ «Об административных правонарушениях в Кемеровской области».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D2A40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 основании</w:t>
      </w:r>
      <w:proofErr w:type="gramEnd"/>
      <w:r w:rsidRPr="00BD2A40">
        <w:rPr>
          <w:rFonts w:ascii="Times New Roman" w:hAnsi="Times New Roman" w:cs="Times New Roman"/>
          <w:sz w:val="28"/>
          <w:szCs w:val="28"/>
          <w:lang w:val="ru-RU"/>
        </w:rPr>
        <w:t xml:space="preserve">  пункта  6 статьи 98  Федерального закона от 31.07.2020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D2A40">
        <w:rPr>
          <w:rFonts w:ascii="Times New Roman" w:hAnsi="Times New Roman" w:cs="Times New Roman"/>
          <w:sz w:val="28"/>
          <w:szCs w:val="28"/>
          <w:lang w:val="ru-RU"/>
        </w:rPr>
        <w:t>Согласно  пункта</w:t>
      </w:r>
      <w:proofErr w:type="gramEnd"/>
      <w:r w:rsidRPr="00BD2A40">
        <w:rPr>
          <w:rFonts w:ascii="Times New Roman" w:hAnsi="Times New Roman" w:cs="Times New Roman"/>
          <w:sz w:val="28"/>
          <w:szCs w:val="28"/>
          <w:lang w:val="ru-RU"/>
        </w:rPr>
        <w:t xml:space="preserve">  2  статьи  45 Федерального  закона  от  31.07.2020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A40">
        <w:rPr>
          <w:rFonts w:ascii="Times New Roman" w:hAnsi="Times New Roman" w:cs="Times New Roman"/>
          <w:sz w:val="28"/>
          <w:szCs w:val="28"/>
          <w:lang w:val="ru-RU"/>
        </w:rPr>
        <w:t>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515AAA" w:rsidRPr="00C13CAD" w:rsidRDefault="00BD2A40" w:rsidP="00C13C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 </w:t>
      </w:r>
      <w:r w:rsidR="00C13CAD" w:rsidRPr="00C13CAD">
        <w:rPr>
          <w:rFonts w:ascii="Times New Roman" w:hAnsi="Times New Roman" w:cs="Times New Roman"/>
          <w:sz w:val="28"/>
          <w:szCs w:val="28"/>
          <w:lang w:val="ru-RU"/>
        </w:rPr>
        <w:t xml:space="preserve">контроль </w:t>
      </w:r>
      <w:r w:rsidRPr="00BD2A40">
        <w:rPr>
          <w:rFonts w:ascii="Times New Roman" w:hAnsi="Times New Roman" w:cs="Times New Roman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C13CAD" w:rsidRPr="00C13CAD">
        <w:rPr>
          <w:rFonts w:ascii="Times New Roman" w:hAnsi="Times New Roman" w:cs="Times New Roman"/>
          <w:sz w:val="28"/>
          <w:szCs w:val="28"/>
          <w:lang w:val="ru-RU"/>
        </w:rPr>
        <w:t xml:space="preserve">в области соблюдения юридическими лицами, индивидуальными предпринимателями и гражданами обязательных требований, установленных федеральными законами, законами Кемеровской области-Кузбасса и муниципальными правовыми актами в отношении </w:t>
      </w:r>
      <w:r w:rsidRPr="00BD2A40">
        <w:rPr>
          <w:rFonts w:ascii="Times New Roman" w:hAnsi="Times New Roman" w:cs="Times New Roman"/>
          <w:sz w:val="28"/>
          <w:szCs w:val="28"/>
          <w:lang w:val="ru-RU"/>
        </w:rPr>
        <w:t>обеспечения сохранности автомобильных дорог местного значения в границах муниципального округа</w:t>
      </w:r>
      <w:r w:rsidRPr="00C13C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3CAD" w:rsidRPr="00C13CAD">
        <w:rPr>
          <w:rFonts w:ascii="Times New Roman" w:hAnsi="Times New Roman" w:cs="Times New Roman"/>
          <w:sz w:val="28"/>
          <w:szCs w:val="28"/>
          <w:lang w:val="ru-RU"/>
        </w:rPr>
        <w:t>с целью недопущения причинения вреда (ущерба) охраняемым законом ценностям является  вновь введенным видом муниципального контроля, ранее не осуществлявшимся на территории Яшкинского муниципального округа, поэтому отсутствует накопленная база в области нарушений обязательных требований и (или) возможных рисков причинения вреда (ущерба) охраняемым законом ценностям.</w:t>
      </w:r>
    </w:p>
    <w:p w:rsidR="00423E77" w:rsidRPr="00423E77" w:rsidRDefault="00423E77" w:rsidP="00423E77">
      <w:pPr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Раздел 2. Цели и задачи реализации программы профилактики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2A51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2.1. Целью программы является:</w:t>
      </w:r>
    </w:p>
    <w:p w:rsidR="00515AAA" w:rsidRPr="00515AAA" w:rsidRDefault="00515AAA" w:rsidP="002A51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предупреждение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15AAA" w:rsidRPr="00515AAA" w:rsidRDefault="00515AAA" w:rsidP="002A51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создание мотивации к добросовестному поведению подконтрольных субъектов;</w:t>
      </w:r>
    </w:p>
    <w:p w:rsidR="00515AAA" w:rsidRPr="00515AAA" w:rsidRDefault="00515AAA" w:rsidP="002A51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снижение уровня ущерба охраняемым законом ценностям.</w:t>
      </w:r>
    </w:p>
    <w:p w:rsidR="00515AAA" w:rsidRPr="00515AAA" w:rsidRDefault="00515AAA" w:rsidP="002A51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2A51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2.2. Задачами программы являются: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Укрепление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Выявление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Повышение правосознания и правовой культуры руководителей юридических лиц и индивидуальных предпринимателей;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Раздел 3.  План мероприятий по профилактике рисков причинения вреда (ущерба) охраняемых законом ценностей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2152"/>
        <w:gridCol w:w="2270"/>
      </w:tblGrid>
      <w:tr w:rsidR="00515AAA" w:rsidRPr="00515AAA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890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Ответственное должностное лицо</w:t>
            </w:r>
          </w:p>
        </w:tc>
      </w:tr>
      <w:tr w:rsidR="00515AAA" w:rsidRPr="00515AAA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90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15AAA" w:rsidRPr="00C7677D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«Яшкинский Вестник») и на официальном сайте администрации Яшкинского муниципального округа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C7677D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C7677D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«Яшкинский Вестник» (официальном печатном органе администрации Яшкинского муниципального округа), размещения на официальном сайте администрации Яшкинского муниципального округа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C7677D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телефону;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 личном обращении;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средствам видео-конференц-связи;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ходе проведения профилактического мероприятия;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C7677D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Обобщение практики осуществления мероприятий по муниципальному контролю с размещением на официальном сайте администрации Яшкинского муниципального округа в 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Ежегодно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реже одного раза в год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(в году, следующем за отчетным)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Должностные лица, уполномоченные на осуществление 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контроля</w:t>
            </w:r>
          </w:p>
        </w:tc>
      </w:tr>
      <w:tr w:rsidR="00515AAA" w:rsidRPr="00C7677D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C7677D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 01 октября)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C7677D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 01 октября по 01 ноября)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C7677D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и внесение изменений по результатам общественного обсуждения программы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 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позднее, чем до 10 декабря)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C7677D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Утверждение программы профилактики нарушений 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Ежегодно 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 20 декабря)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Должностные лица, 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уполномоченные на осуществление муниципального контроля</w:t>
            </w:r>
          </w:p>
        </w:tc>
      </w:tr>
      <w:tr w:rsidR="00515AAA" w:rsidRPr="00C7677D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программы профилактики на официальном сайте администрации Яшкинского муниципального округа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5 дней с момента утверждения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4.  Показатели результативности и эффективности программы профилактики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AAA" w:rsidRDefault="00515AAA" w:rsidP="002A517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  <w:sectPr w:rsidR="00515AAA" w:rsidSect="00CB6F3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программы профилактики нарушений, в указанной программе установлены следующие отчетные показатели:</w:t>
      </w:r>
    </w:p>
    <w:p w:rsidR="00515AAA" w:rsidRPr="00515AAA" w:rsidRDefault="00515AAA" w:rsidP="00515AAA">
      <w:pPr>
        <w:rPr>
          <w:rFonts w:ascii="Times New Roman" w:hAnsi="Times New Roman" w:cs="Times New Roman"/>
          <w:sz w:val="28"/>
          <w:szCs w:val="28"/>
          <w:lang w:val="ru-RU"/>
        </w:rPr>
        <w:sectPr w:rsidR="00515AAA" w:rsidRPr="00515AAA" w:rsidSect="00515AA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Отчетные показатели реализации программы профилактики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515AAA" w:rsidRPr="00515AAA" w:rsidTr="00CC7546">
        <w:trPr>
          <w:jc w:val="center"/>
        </w:trPr>
        <w:tc>
          <w:tcPr>
            <w:tcW w:w="635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891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эффективности</w:t>
            </w:r>
          </w:p>
        </w:tc>
      </w:tr>
      <w:tr w:rsidR="00515AAA" w:rsidRPr="00515AAA" w:rsidTr="00CC7546">
        <w:trPr>
          <w:jc w:val="center"/>
        </w:trPr>
        <w:tc>
          <w:tcPr>
            <w:tcW w:w="635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91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3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год</w:t>
            </w:r>
          </w:p>
        </w:tc>
        <w:tc>
          <w:tcPr>
            <w:tcW w:w="3473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год</w:t>
            </w:r>
          </w:p>
        </w:tc>
      </w:tr>
      <w:tr w:rsidR="00515AAA" w:rsidRPr="00515AAA" w:rsidTr="00CC7546">
        <w:trPr>
          <w:jc w:val="center"/>
        </w:trPr>
        <w:tc>
          <w:tcPr>
            <w:tcW w:w="635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91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нормативных правовых актов, обязательных к размещению в СМИ и на официальном сайте администрации Яшкинского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нормативных правовых актов администрации Яшкинского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515AAA" w:rsidRPr="00515AAA" w:rsidTr="00CC7546">
        <w:trPr>
          <w:jc w:val="center"/>
        </w:trPr>
        <w:tc>
          <w:tcPr>
            <w:tcW w:w="584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214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эффективности</w:t>
            </w:r>
          </w:p>
        </w:tc>
      </w:tr>
      <w:tr w:rsidR="00515AAA" w:rsidRPr="00515AAA" w:rsidTr="00CC7546">
        <w:trPr>
          <w:jc w:val="center"/>
        </w:trPr>
        <w:tc>
          <w:tcPr>
            <w:tcW w:w="58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1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26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год</w:t>
            </w:r>
          </w:p>
        </w:tc>
        <w:tc>
          <w:tcPr>
            <w:tcW w:w="3627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год</w:t>
            </w:r>
          </w:p>
        </w:tc>
      </w:tr>
      <w:tr w:rsidR="00515AAA" w:rsidRPr="00515AAA" w:rsidTr="00CC7546">
        <w:trPr>
          <w:jc w:val="center"/>
        </w:trPr>
        <w:tc>
          <w:tcPr>
            <w:tcW w:w="58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1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контролируемых лиц и (или) их представителей информацией, полученной в результате  консультирования</w:t>
            </w:r>
          </w:p>
        </w:tc>
        <w:tc>
          <w:tcPr>
            <w:tcW w:w="1813" w:type="dxa"/>
          </w:tcPr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Федерации»  было выдано за отчетный период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EA9" w:rsidRPr="00297EA9" w:rsidRDefault="00297EA9" w:rsidP="00297E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97EA9" w:rsidRPr="00297EA9" w:rsidSect="00515AAA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1E"/>
    <w:rsid w:val="001B2F1E"/>
    <w:rsid w:val="00297EA9"/>
    <w:rsid w:val="002A5175"/>
    <w:rsid w:val="00410AF8"/>
    <w:rsid w:val="00423E77"/>
    <w:rsid w:val="00515AAA"/>
    <w:rsid w:val="005F5125"/>
    <w:rsid w:val="006E37E4"/>
    <w:rsid w:val="00BD2A40"/>
    <w:rsid w:val="00BD4B6D"/>
    <w:rsid w:val="00BF6DA6"/>
    <w:rsid w:val="00C13CAD"/>
    <w:rsid w:val="00C7677D"/>
    <w:rsid w:val="00CB63DE"/>
    <w:rsid w:val="00E3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3CD"/>
  <w15:chartTrackingRefBased/>
  <w15:docId w15:val="{5D050AB8-6446-447F-9E34-60F23290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1E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1B2F1E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1B2F1E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F1E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1B2F1E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table" w:styleId="a3">
    <w:name w:val="Table Grid"/>
    <w:basedOn w:val="a1"/>
    <w:uiPriority w:val="59"/>
    <w:rsid w:val="0051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D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4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cp:lastPrinted>2021-12-21T04:26:00Z</cp:lastPrinted>
  <dcterms:created xsi:type="dcterms:W3CDTF">2021-12-23T03:37:00Z</dcterms:created>
  <dcterms:modified xsi:type="dcterms:W3CDTF">2021-12-23T03:37:00Z</dcterms:modified>
</cp:coreProperties>
</file>