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1E" w:rsidRDefault="001B2F1E" w:rsidP="001B2F1E">
      <w:pPr>
        <w:pStyle w:val="5"/>
        <w:rPr>
          <w:szCs w:val="28"/>
          <w:lang w:val="ru-RU"/>
        </w:rPr>
      </w:pPr>
    </w:p>
    <w:p w:rsidR="001B2F1E" w:rsidRDefault="001B2F1E" w:rsidP="001B2F1E">
      <w:pPr>
        <w:pStyle w:val="5"/>
        <w:rPr>
          <w:szCs w:val="28"/>
          <w:lang w:val="ru-RU"/>
        </w:rPr>
      </w:pPr>
    </w:p>
    <w:p w:rsidR="00297EA9" w:rsidRDefault="000A5786" w:rsidP="00297EA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на территории Яшкинского муниципального округа муниципального </w:t>
      </w:r>
      <w:r w:rsidR="00F23EEB">
        <w:rPr>
          <w:rFonts w:ascii="Times New Roman" w:hAnsi="Times New Roman" w:cs="Times New Roman"/>
          <w:b/>
          <w:sz w:val="28"/>
          <w:szCs w:val="28"/>
          <w:lang w:val="ru-RU"/>
        </w:rPr>
        <w:t>лесного</w:t>
      </w: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контроля на 2022 год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515AAA" w:rsidRPr="00515AAA" w:rsidRDefault="00515AAA" w:rsidP="002A51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на территории Яшкинского муниципального округа муниципального </w:t>
      </w:r>
      <w:r w:rsidR="00F23EEB">
        <w:rPr>
          <w:rFonts w:ascii="Times New Roman" w:hAnsi="Times New Roman" w:cs="Times New Roman"/>
          <w:sz w:val="28"/>
          <w:szCs w:val="28"/>
          <w:lang w:val="ru-RU"/>
        </w:rPr>
        <w:t>лесного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контроля на 2022 год (далее - Программа профилактики),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 Федерации», Федерального закона от 31.07.2020 № 247 – ФЗ «Об обязательных требованиях в Российской Федерации»  и 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органом муниципального контроля – структурным подразделением администрации Яшкинского муниципального округа профилактики рисков причинения вреда (ущерба) охраняемым законом требований, установленных законодательством Российской Федерации, а также требований установленных законами Кемеровской области – Кузбасса и муниципальными правовыми актами, в случаях, если соответствующие виды контроля относятся к вопросам местного значения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515AAA" w:rsidRPr="00515AAA" w:rsidRDefault="00515AAA" w:rsidP="002A51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рисков причинения вреда (ущерба) охраняемых законом ценностям проводится в рамках осуществления перечня </w:t>
      </w:r>
      <w:r w:rsidR="002A5175" w:rsidRPr="00515AAA">
        <w:rPr>
          <w:rFonts w:ascii="Times New Roman" w:hAnsi="Times New Roman" w:cs="Times New Roman"/>
          <w:sz w:val="28"/>
          <w:szCs w:val="28"/>
          <w:lang w:val="ru-RU"/>
        </w:rPr>
        <w:t>муниципальных контролей,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указанных в Положении о муниципальном </w:t>
      </w:r>
      <w:r w:rsidR="00F23EEB">
        <w:rPr>
          <w:rFonts w:ascii="Times New Roman" w:hAnsi="Times New Roman" w:cs="Times New Roman"/>
          <w:sz w:val="28"/>
          <w:szCs w:val="28"/>
          <w:lang w:val="ru-RU"/>
        </w:rPr>
        <w:t>лесном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контроле в</w:t>
      </w:r>
      <w:r w:rsidR="00F23EEB">
        <w:rPr>
          <w:rFonts w:ascii="Times New Roman" w:hAnsi="Times New Roman" w:cs="Times New Roman"/>
          <w:sz w:val="28"/>
          <w:szCs w:val="28"/>
          <w:lang w:val="ru-RU"/>
        </w:rPr>
        <w:t xml:space="preserve"> границах Яшкинского муниципального округа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 решением Совета народных депутатов Яшкинского муниципального округа </w:t>
      </w:r>
      <w:r w:rsidR="00F23EEB">
        <w:rPr>
          <w:rFonts w:ascii="Times New Roman" w:hAnsi="Times New Roman" w:cs="Times New Roman"/>
          <w:sz w:val="28"/>
          <w:szCs w:val="28"/>
          <w:lang w:val="ru-RU"/>
        </w:rPr>
        <w:t>№293-р от 29.11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>.2021</w:t>
      </w:r>
    </w:p>
    <w:p w:rsidR="00515AAA" w:rsidRDefault="00515AAA" w:rsidP="00423E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Программа профилактики будет реализована в 2022 году и содержит описание текущего состояния поднадзорной сферы, содержит проект плана мероприятий по профилактике рисков причинения вреда (ущерба) охраняемым законом ценностям при осуществлении на территории Яшкинского муниципального</w:t>
      </w:r>
      <w:r w:rsidR="00F23EEB">
        <w:rPr>
          <w:rFonts w:ascii="Times New Roman" w:hAnsi="Times New Roman" w:cs="Times New Roman"/>
          <w:sz w:val="28"/>
          <w:szCs w:val="28"/>
          <w:lang w:val="ru-RU"/>
        </w:rPr>
        <w:t xml:space="preserve"> округа муниципального лесного</w:t>
      </w: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 контроля на 2022 год и показатели оценки реализации Программы профилактики.</w:t>
      </w:r>
    </w:p>
    <w:p w:rsidR="00423E77" w:rsidRPr="00515AAA" w:rsidRDefault="00423E77" w:rsidP="000A57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1. Анализ текущего состояния осуществления муниципального </w:t>
      </w:r>
      <w:r w:rsidR="00F23EEB">
        <w:rPr>
          <w:rFonts w:ascii="Times New Roman" w:hAnsi="Times New Roman" w:cs="Times New Roman"/>
          <w:b/>
          <w:sz w:val="28"/>
          <w:szCs w:val="28"/>
          <w:lang w:val="ru-RU"/>
        </w:rPr>
        <w:t>лесного</w:t>
      </w: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контроля на территории Яшкинского муниципального округа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муниципального лесного контроля является проверка соблюдения юридическими лицами, индивидуальными предпринимателями и гражданами </w:t>
      </w:r>
      <w:r w:rsidRPr="006C7798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требований в отношении лесных участков, находящихся в муниципальной собственности Яшкинского муниципального округа,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– Кузбасса</w:t>
      </w:r>
      <w:r w:rsidRPr="006C779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6C7798">
        <w:rPr>
          <w:rFonts w:ascii="Times New Roman" w:hAnsi="Times New Roman" w:cs="Times New Roman"/>
          <w:sz w:val="28"/>
          <w:szCs w:val="28"/>
          <w:lang w:val="ru-RU"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Обязательные требования, требования, установленные муниципальными правовыми актами в сфере осуществления лесного контроля, регламентированы следующими нормативными правовыми актами: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- Лесной Кодекс РФ.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- Кодекс РФ об административных правонарушениях.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02.05.2006 № 59-ФЗ «О порядке рассмотрения обращений граждан».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31.07.2020 № 248-ФЗ «О государственном контроле (надзоре) и муниципальном контроле в Российской Федерации».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31.07.2020 № 247-ФЗ «Об обязательных требованиях в Российской Федерации».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-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- Постановления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поверок юридических лиц и индивидуальных предпринимателей».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- Закон Кемеровской области от 16.06.2006 № 89-ОЗ «Об административных правонарушениях в Кемеровской области».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На основании пункта 6 статьи 98 Федерального закона от 31.07.2020 № 248-ФЗ «О государственном контроле (надзоре) и муниципальном контроле 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6C7798" w:rsidRPr="006C7798" w:rsidRDefault="006C7798" w:rsidP="006C779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798">
        <w:rPr>
          <w:rFonts w:ascii="Times New Roman" w:hAnsi="Times New Roman" w:cs="Times New Roman"/>
          <w:sz w:val="28"/>
          <w:szCs w:val="28"/>
          <w:lang w:val="ru-RU"/>
        </w:rPr>
        <w:t>Согласно пункта 2 статьи 45 Федерального закона от 31.07.2020 № 248-ФЗ «О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515AAA" w:rsidRDefault="0075602A" w:rsidP="007560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576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лесной </w:t>
      </w:r>
      <w:r w:rsidRPr="0097576F">
        <w:rPr>
          <w:rFonts w:ascii="Times New Roman" w:hAnsi="Times New Roman" w:cs="Times New Roman"/>
          <w:sz w:val="28"/>
          <w:szCs w:val="28"/>
          <w:lang w:val="ru-RU"/>
        </w:rPr>
        <w:t xml:space="preserve">контроль является вновь введенным видом муниципального контроля, ранее не осуществлявшемся на территории Яшкинского муниципального округа, поэтому отсутствует накопленная база в области нарушений </w:t>
      </w:r>
      <w:r w:rsidRPr="0097576F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обязательных требований и (или) возможных рисков причинения вреда (ущерба) охраняемым законом ценностям.</w:t>
      </w:r>
    </w:p>
    <w:p w:rsidR="00423E77" w:rsidRPr="00423E77" w:rsidRDefault="00423E77" w:rsidP="00423E77">
      <w:pPr>
        <w:ind w:left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>Раздел 2. Цели и задачи реализации программы профилактики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2A51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2.1. Целью программы является:</w:t>
      </w:r>
    </w:p>
    <w:p w:rsidR="00515AAA" w:rsidRPr="00515AAA" w:rsidRDefault="00515AAA" w:rsidP="002A51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предупреждение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15AAA" w:rsidRPr="00515AAA" w:rsidRDefault="00515AAA" w:rsidP="002A51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создание мотивации к добросовестному поведению подконтрольных субъектов;</w:t>
      </w:r>
    </w:p>
    <w:p w:rsidR="00515AAA" w:rsidRPr="00515AAA" w:rsidRDefault="00515AAA" w:rsidP="002A517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снижение уровня ущерба охраняемым законом ценностям.</w:t>
      </w:r>
    </w:p>
    <w:p w:rsidR="00515AAA" w:rsidRPr="00515AAA" w:rsidRDefault="00515AAA" w:rsidP="002A51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2A51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2.2. Задачами программы являются: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Укрепление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Выявление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Повышение правосознания и правовой культуры руководителей юридических лиц и индивидуальных предпринимателей;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15AAA" w:rsidRPr="00515AAA" w:rsidRDefault="00515AAA" w:rsidP="002A51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5602A" w:rsidRPr="00515AAA" w:rsidRDefault="0075602A" w:rsidP="000A578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>Раздел 3.  План мероприятий по профилактике рисков причинения вреда (ущерба) охраняемых законом ценностей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890"/>
        <w:gridCol w:w="2152"/>
        <w:gridCol w:w="2270"/>
      </w:tblGrid>
      <w:tr w:rsidR="00515AAA" w:rsidRPr="00515AAA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890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Ответственное должностное лицо</w:t>
            </w:r>
          </w:p>
        </w:tc>
      </w:tr>
      <w:tr w:rsidR="00515AAA" w:rsidRPr="00515AAA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90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515AAA" w:rsidRPr="000A5786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средствах массовой информации (газете «Яшкинский Вестник») и на официальном сайте администрации Яшкинского муниципального округа 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0A5786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0A5786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Своевременное информирование юридических лиц и индивидуальных предпринимателей об изменении обязательных требований, путем размещения информации в газете «Яшкинский Вестник» (официальном печатном органе администрации Яшкинского муниципального округа), размещения на официальном сайте администрации Яшкинского муниципального округа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</w:t>
            </w: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0A5786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 телефону;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 личном обращении;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 средствам видео-конференц-связи;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ходе проведения профилактического мероприятия;</w:t>
            </w:r>
          </w:p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0A5786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практики осуществления мероприятий по муниципальному контролю с размещением на официальном сайте администрации Яшкинского муниципального округа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реже одного раза в год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году, следующем за отчетным)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0A5786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(по мере необходимости)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0A5786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(до 01 октября)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0A5786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 01 октября по 01 ноября)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0A5786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и внесение изменений по результатам общественного обсуждения программы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Ежегодно 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 позднее, чем до 10 декабря)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0A5786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Ежегодно 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(до 20 декабря)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15AAA" w:rsidRPr="000A5786" w:rsidTr="00CC7546">
        <w:tc>
          <w:tcPr>
            <w:tcW w:w="80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4890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программы профилактики на официальном сайте администрации Яшкинского муниципального округа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5 дней с момента утверждения</w:t>
            </w:r>
          </w:p>
        </w:tc>
        <w:tc>
          <w:tcPr>
            <w:tcW w:w="197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4.  Показатели результативности и эффективности программы профилактики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AAA" w:rsidRDefault="00515AAA" w:rsidP="002A517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  <w:sectPr w:rsidR="00515AAA" w:rsidSect="00CB6F3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t>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программы профилактики нарушений, в указанной программе установлены следующие отчетные показатели:</w:t>
      </w:r>
    </w:p>
    <w:p w:rsidR="00515AAA" w:rsidRPr="00515AAA" w:rsidRDefault="00515AAA" w:rsidP="00515AAA">
      <w:pPr>
        <w:rPr>
          <w:rFonts w:ascii="Times New Roman" w:hAnsi="Times New Roman" w:cs="Times New Roman"/>
          <w:sz w:val="28"/>
          <w:szCs w:val="28"/>
          <w:lang w:val="ru-RU"/>
        </w:rPr>
        <w:sectPr w:rsidR="00515AAA" w:rsidRPr="00515AAA" w:rsidSect="00515AA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Отчетные показатели реализации программы профилактики</w:t>
      </w:r>
    </w:p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5891"/>
        <w:gridCol w:w="1736"/>
        <w:gridCol w:w="1737"/>
        <w:gridCol w:w="1736"/>
        <w:gridCol w:w="1737"/>
      </w:tblGrid>
      <w:tr w:rsidR="00515AAA" w:rsidRPr="00515AAA" w:rsidTr="00CC7546">
        <w:trPr>
          <w:jc w:val="center"/>
        </w:trPr>
        <w:tc>
          <w:tcPr>
            <w:tcW w:w="635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891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 эффективности</w:t>
            </w:r>
          </w:p>
        </w:tc>
      </w:tr>
      <w:tr w:rsidR="00515AAA" w:rsidRPr="00515AAA" w:rsidTr="00CC7546">
        <w:trPr>
          <w:jc w:val="center"/>
        </w:trPr>
        <w:tc>
          <w:tcPr>
            <w:tcW w:w="635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91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3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год</w:t>
            </w:r>
          </w:p>
        </w:tc>
        <w:tc>
          <w:tcPr>
            <w:tcW w:w="3473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год</w:t>
            </w:r>
          </w:p>
        </w:tc>
      </w:tr>
      <w:tr w:rsidR="00515AAA" w:rsidRPr="00515AAA" w:rsidTr="00CC7546">
        <w:trPr>
          <w:jc w:val="center"/>
        </w:trPr>
        <w:tc>
          <w:tcPr>
            <w:tcW w:w="635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91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нормативных правовых актов, обязательных к размещению в СМИ и на официальном сайте администрации Яшкинского муниципального округа на начало отчетного периода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75602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нормативных правовых актов администрации Яшкинского муниципального округа,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75602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635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891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75602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75602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36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AAA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6214"/>
        <w:gridCol w:w="1813"/>
        <w:gridCol w:w="1813"/>
        <w:gridCol w:w="1813"/>
        <w:gridCol w:w="1814"/>
      </w:tblGrid>
      <w:tr w:rsidR="00515AAA" w:rsidRPr="00515AAA" w:rsidTr="00CC7546">
        <w:trPr>
          <w:jc w:val="center"/>
        </w:trPr>
        <w:tc>
          <w:tcPr>
            <w:tcW w:w="584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214" w:type="dxa"/>
            <w:vMerge w:val="restart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 эффективности</w:t>
            </w:r>
          </w:p>
        </w:tc>
      </w:tr>
      <w:tr w:rsidR="00515AAA" w:rsidRPr="00515AAA" w:rsidTr="00CC7546">
        <w:trPr>
          <w:jc w:val="center"/>
        </w:trPr>
        <w:tc>
          <w:tcPr>
            <w:tcW w:w="58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1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26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год</w:t>
            </w:r>
          </w:p>
        </w:tc>
        <w:tc>
          <w:tcPr>
            <w:tcW w:w="3627" w:type="dxa"/>
            <w:gridSpan w:val="2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год</w:t>
            </w:r>
          </w:p>
        </w:tc>
      </w:tr>
      <w:tr w:rsidR="00515AAA" w:rsidRPr="00515AAA" w:rsidTr="00CC7546">
        <w:trPr>
          <w:jc w:val="center"/>
        </w:trPr>
        <w:tc>
          <w:tcPr>
            <w:tcW w:w="58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14" w:type="dxa"/>
            <w:vMerge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Кол-во,</w:t>
            </w: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% к предыдущему периоду</w:t>
            </w: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515AAA" w:rsidRPr="00515AAA" w:rsidRDefault="0075602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75602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контролируемых лиц и (или) их представителей информацией, полученной в результате  консультирования</w:t>
            </w:r>
          </w:p>
        </w:tc>
        <w:tc>
          <w:tcPr>
            <w:tcW w:w="1813" w:type="dxa"/>
          </w:tcPr>
          <w:p w:rsidR="00515AAA" w:rsidRPr="00515AAA" w:rsidRDefault="0075602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предостережений о недопустимости нарушения обязательных требований в соответствии статьями 45 и 49 Федерального закона от 31.07.2020 № 248-ФЗ «О государственном контроле (надзоре) и муниципальном контроле в Российской Федерации»  было выдано за отчетный период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5AAA" w:rsidRPr="00515AAA" w:rsidTr="00CC7546">
        <w:trPr>
          <w:jc w:val="center"/>
        </w:trPr>
        <w:tc>
          <w:tcPr>
            <w:tcW w:w="58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6214" w:type="dxa"/>
          </w:tcPr>
          <w:p w:rsidR="00515AAA" w:rsidRPr="00515AAA" w:rsidRDefault="00515AAA" w:rsidP="002A51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исполненных подконтрольными субъектами предостережений о 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A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13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14" w:type="dxa"/>
          </w:tcPr>
          <w:p w:rsidR="00515AAA" w:rsidRPr="00515AAA" w:rsidRDefault="00515AAA" w:rsidP="00515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5AAA" w:rsidRPr="00515AAA" w:rsidRDefault="00515AAA" w:rsidP="00515A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EA9" w:rsidRPr="00297EA9" w:rsidRDefault="00297EA9" w:rsidP="00297E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97EA9" w:rsidRPr="00297EA9" w:rsidSect="00515AAA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1E"/>
    <w:rsid w:val="000A5786"/>
    <w:rsid w:val="001B2F1E"/>
    <w:rsid w:val="00297EA9"/>
    <w:rsid w:val="002A5175"/>
    <w:rsid w:val="00410AF8"/>
    <w:rsid w:val="00423E77"/>
    <w:rsid w:val="00515AAA"/>
    <w:rsid w:val="005F5125"/>
    <w:rsid w:val="006C7798"/>
    <w:rsid w:val="006E37E4"/>
    <w:rsid w:val="0075602A"/>
    <w:rsid w:val="00BD4B6D"/>
    <w:rsid w:val="00CB63DE"/>
    <w:rsid w:val="00F2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C013"/>
  <w15:chartTrackingRefBased/>
  <w15:docId w15:val="{5D050AB8-6446-447F-9E34-60F23290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1E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1B2F1E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1B2F1E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2F1E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1B2F1E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table" w:styleId="a3">
    <w:name w:val="Table Grid"/>
    <w:basedOn w:val="a1"/>
    <w:uiPriority w:val="59"/>
    <w:rsid w:val="0051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798"/>
    <w:pPr>
      <w:suppressAutoHyphens w:val="0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</cp:revision>
  <dcterms:created xsi:type="dcterms:W3CDTF">2021-12-21T01:07:00Z</dcterms:created>
  <dcterms:modified xsi:type="dcterms:W3CDTF">2021-12-21T01:07:00Z</dcterms:modified>
</cp:coreProperties>
</file>